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74" w:rsidRDefault="001E2D74"/>
    <w:p w:rsidR="005F7BC3" w:rsidRDefault="005F7BC3"/>
    <w:p w:rsidR="005F7BC3" w:rsidRPr="00346600" w:rsidRDefault="005F7BC3" w:rsidP="005F7BC3">
      <w:pPr>
        <w:keepNext/>
        <w:keepLines/>
        <w:tabs>
          <w:tab w:val="left" w:pos="1134"/>
        </w:tabs>
        <w:ind w:left="993" w:right="54" w:hanging="284"/>
        <w:jc w:val="center"/>
        <w:rPr>
          <w:b/>
          <w:sz w:val="23"/>
          <w:szCs w:val="23"/>
        </w:rPr>
      </w:pPr>
      <w:r w:rsidRPr="00346600">
        <w:rPr>
          <w:b/>
          <w:sz w:val="23"/>
          <w:szCs w:val="23"/>
        </w:rPr>
        <w:t>VI. MOKYMOSI PASIEKIMŲ GERINIMO IR MOKYMOSI PAGALBOS TEIKIMO PRIEMONĖS</w:t>
      </w:r>
    </w:p>
    <w:p w:rsidR="005F7BC3" w:rsidRPr="00346600" w:rsidRDefault="005F7BC3" w:rsidP="005F7BC3">
      <w:pPr>
        <w:keepNext/>
        <w:keepLines/>
        <w:tabs>
          <w:tab w:val="left" w:pos="1134"/>
        </w:tabs>
        <w:ind w:left="993" w:right="54" w:hanging="284"/>
        <w:jc w:val="both"/>
        <w:rPr>
          <w:b/>
          <w:sz w:val="23"/>
          <w:szCs w:val="23"/>
        </w:rPr>
      </w:pPr>
    </w:p>
    <w:p w:rsidR="005F7BC3" w:rsidRPr="00346600" w:rsidRDefault="005F7BC3" w:rsidP="005F7BC3">
      <w:pPr>
        <w:keepNext/>
        <w:keepLines/>
        <w:tabs>
          <w:tab w:val="left" w:pos="1134"/>
        </w:tabs>
        <w:ind w:left="993" w:right="54" w:hanging="284"/>
        <w:jc w:val="both"/>
        <w:rPr>
          <w:b/>
          <w:sz w:val="23"/>
          <w:szCs w:val="23"/>
        </w:rPr>
      </w:pPr>
    </w:p>
    <w:p w:rsidR="005F7BC3" w:rsidRDefault="005F7BC3" w:rsidP="00990C14">
      <w:pPr>
        <w:keepNext/>
        <w:keepLines/>
        <w:tabs>
          <w:tab w:val="left" w:pos="1134"/>
        </w:tabs>
        <w:ind w:left="993" w:right="54" w:hanging="284"/>
        <w:jc w:val="both"/>
        <w:rPr>
          <w:b/>
          <w:bCs/>
          <w:sz w:val="23"/>
          <w:szCs w:val="23"/>
        </w:rPr>
      </w:pPr>
      <w:r w:rsidRPr="00346600">
        <w:rPr>
          <w:sz w:val="23"/>
          <w:szCs w:val="23"/>
        </w:rPr>
        <w:t>26.</w:t>
      </w:r>
      <w:r w:rsidRPr="00346600">
        <w:rPr>
          <w:b/>
          <w:bCs/>
          <w:sz w:val="23"/>
          <w:szCs w:val="23"/>
        </w:rPr>
        <w:t xml:space="preserve"> Nepažangumo mažinimo priemonės.</w:t>
      </w:r>
    </w:p>
    <w:p w:rsidR="00960304" w:rsidRDefault="00960304" w:rsidP="00990C14">
      <w:pPr>
        <w:keepNext/>
        <w:keepLines/>
        <w:tabs>
          <w:tab w:val="left" w:pos="1134"/>
        </w:tabs>
        <w:ind w:left="993" w:right="54" w:hanging="284"/>
        <w:jc w:val="both"/>
        <w:rPr>
          <w:b/>
          <w:bCs/>
          <w:sz w:val="23"/>
          <w:szCs w:val="23"/>
        </w:rPr>
      </w:pPr>
    </w:p>
    <w:p w:rsidR="00960304" w:rsidRPr="00346600" w:rsidRDefault="00960304" w:rsidP="00990C14">
      <w:pPr>
        <w:pStyle w:val="Sraopastraipa"/>
        <w:spacing w:line="240" w:lineRule="auto"/>
        <w:ind w:left="709"/>
        <w:jc w:val="both"/>
        <w:rPr>
          <w:rFonts w:ascii="Times New Roman" w:hAnsi="Times New Roman"/>
          <w:sz w:val="23"/>
          <w:szCs w:val="23"/>
        </w:rPr>
      </w:pPr>
      <w:r>
        <w:rPr>
          <w:rFonts w:ascii="Times New Roman" w:hAnsi="Times New Roman"/>
          <w:sz w:val="23"/>
          <w:szCs w:val="23"/>
        </w:rPr>
        <w:t>26.1</w:t>
      </w:r>
      <w:r w:rsidRPr="00346600">
        <w:rPr>
          <w:rFonts w:ascii="Times New Roman" w:hAnsi="Times New Roman"/>
          <w:sz w:val="23"/>
          <w:szCs w:val="23"/>
        </w:rPr>
        <w:t xml:space="preserve">. </w:t>
      </w:r>
      <w:r w:rsidRPr="009807CB">
        <w:rPr>
          <w:rFonts w:ascii="Times New Roman" w:hAnsi="Times New Roman"/>
          <w:b/>
          <w:sz w:val="23"/>
          <w:szCs w:val="23"/>
        </w:rPr>
        <w:t>Turintiems mokymosi sunkumų</w:t>
      </w:r>
      <w:r w:rsidRPr="00346600">
        <w:rPr>
          <w:rFonts w:ascii="Times New Roman" w:hAnsi="Times New Roman"/>
          <w:sz w:val="23"/>
          <w:szCs w:val="23"/>
        </w:rPr>
        <w:t xml:space="preserve"> </w:t>
      </w:r>
      <w:r w:rsidR="00270F2D" w:rsidRPr="00270F2D">
        <w:rPr>
          <w:rFonts w:ascii="Times New Roman" w:hAnsi="Times New Roman"/>
          <w:b/>
          <w:sz w:val="23"/>
          <w:szCs w:val="23"/>
        </w:rPr>
        <w:t>I-II (9-10) gimnazijos klasių</w:t>
      </w:r>
      <w:r w:rsidR="00270F2D">
        <w:rPr>
          <w:rFonts w:ascii="Times New Roman" w:hAnsi="Times New Roman"/>
          <w:sz w:val="23"/>
          <w:szCs w:val="23"/>
        </w:rPr>
        <w:t xml:space="preserve"> </w:t>
      </w:r>
      <w:r w:rsidRPr="00346600">
        <w:rPr>
          <w:rFonts w:ascii="Times New Roman" w:hAnsi="Times New Roman"/>
          <w:sz w:val="23"/>
          <w:szCs w:val="23"/>
        </w:rPr>
        <w:t xml:space="preserve">mokiniams skiriamos </w:t>
      </w:r>
      <w:r w:rsidRPr="00346600">
        <w:rPr>
          <w:rFonts w:ascii="Times New Roman" w:hAnsi="Times New Roman"/>
          <w:b/>
          <w:sz w:val="23"/>
          <w:szCs w:val="23"/>
        </w:rPr>
        <w:t>pamokos-konsultacijos</w:t>
      </w:r>
      <w:r w:rsidRPr="00346600">
        <w:rPr>
          <w:rFonts w:ascii="Times New Roman" w:hAnsi="Times New Roman"/>
          <w:sz w:val="23"/>
          <w:szCs w:val="23"/>
        </w:rPr>
        <w:t>.</w:t>
      </w:r>
    </w:p>
    <w:p w:rsidR="00150E8E" w:rsidRDefault="00960304" w:rsidP="00990C14">
      <w:pPr>
        <w:pStyle w:val="Sraopastraipa"/>
        <w:spacing w:line="240" w:lineRule="auto"/>
        <w:ind w:left="1440"/>
        <w:jc w:val="both"/>
        <w:rPr>
          <w:rFonts w:ascii="Times New Roman" w:hAnsi="Times New Roman"/>
          <w:sz w:val="23"/>
          <w:szCs w:val="23"/>
        </w:rPr>
      </w:pPr>
      <w:r w:rsidRPr="00346600">
        <w:rPr>
          <w:rFonts w:ascii="Times New Roman" w:hAnsi="Times New Roman"/>
          <w:sz w:val="23"/>
          <w:szCs w:val="23"/>
        </w:rPr>
        <w:t>1.</w:t>
      </w:r>
      <w:r w:rsidR="00150E8E" w:rsidRPr="00150E8E">
        <w:rPr>
          <w:rFonts w:ascii="Times New Roman" w:hAnsi="Times New Roman"/>
          <w:sz w:val="23"/>
          <w:szCs w:val="23"/>
        </w:rPr>
        <w:t xml:space="preserve"> </w:t>
      </w:r>
      <w:r w:rsidR="00150E8E">
        <w:rPr>
          <w:rFonts w:ascii="Times New Roman" w:hAnsi="Times New Roman"/>
          <w:sz w:val="23"/>
          <w:szCs w:val="23"/>
        </w:rPr>
        <w:t>*</w:t>
      </w:r>
      <w:r w:rsidRPr="009807CB">
        <w:rPr>
          <w:rFonts w:ascii="Times New Roman" w:hAnsi="Times New Roman"/>
          <w:b/>
          <w:sz w:val="23"/>
          <w:szCs w:val="23"/>
        </w:rPr>
        <w:t>Ilgalaikės konsultacijos</w:t>
      </w:r>
      <w:r w:rsidRPr="00346600">
        <w:rPr>
          <w:rFonts w:ascii="Times New Roman" w:hAnsi="Times New Roman"/>
          <w:sz w:val="23"/>
          <w:szCs w:val="23"/>
        </w:rPr>
        <w:t xml:space="preserve"> (1 val. per savaitę visus metus), jei mokslo metų pradžioje atlikus diagnostinį testą ar įvertinus semestro rezultatus nustatoma, kad mokinio pasiekimų lygis (vieno ar kelių dalykų) žemesnis, nei numatyta Pagrindinio ugdymo bendrosiose programose, ir/ar mokinys nedaro pažangos.</w:t>
      </w:r>
      <w:r>
        <w:rPr>
          <w:rFonts w:ascii="Times New Roman" w:hAnsi="Times New Roman"/>
          <w:sz w:val="23"/>
          <w:szCs w:val="23"/>
        </w:rPr>
        <w:t xml:space="preserve"> </w:t>
      </w:r>
    </w:p>
    <w:p w:rsidR="00150E8E" w:rsidRDefault="00150E8E" w:rsidP="00990C14">
      <w:pPr>
        <w:pStyle w:val="Sraopastraipa"/>
        <w:spacing w:line="240" w:lineRule="auto"/>
        <w:ind w:left="1440"/>
        <w:jc w:val="both"/>
        <w:rPr>
          <w:rFonts w:ascii="Times New Roman" w:hAnsi="Times New Roman"/>
          <w:sz w:val="23"/>
          <w:szCs w:val="23"/>
        </w:rPr>
      </w:pPr>
    </w:p>
    <w:p w:rsidR="00960304" w:rsidRDefault="00150E8E" w:rsidP="00990C14">
      <w:pPr>
        <w:pStyle w:val="Sraopastraipa"/>
        <w:spacing w:line="240" w:lineRule="auto"/>
        <w:ind w:left="1440"/>
        <w:jc w:val="both"/>
        <w:rPr>
          <w:rFonts w:ascii="Times New Roman" w:hAnsi="Times New Roman"/>
          <w:sz w:val="23"/>
          <w:szCs w:val="23"/>
        </w:rPr>
      </w:pPr>
      <w:r>
        <w:rPr>
          <w:rFonts w:ascii="Times New Roman" w:hAnsi="Times New Roman"/>
          <w:sz w:val="23"/>
          <w:szCs w:val="23"/>
        </w:rPr>
        <w:t>*</w:t>
      </w:r>
      <w:r w:rsidR="00960304">
        <w:rPr>
          <w:rFonts w:ascii="Times New Roman" w:hAnsi="Times New Roman"/>
          <w:sz w:val="23"/>
          <w:szCs w:val="23"/>
        </w:rPr>
        <w:t>Ilgalaikės konsultacijos teikiamos paskirtu laiku (tvarkaraštis turi būti pakabintas ant dalyko kabineto durų).</w:t>
      </w:r>
    </w:p>
    <w:p w:rsidR="00627459" w:rsidRDefault="00627459" w:rsidP="00990C14">
      <w:pPr>
        <w:pStyle w:val="Sraopastraipa"/>
        <w:spacing w:line="240" w:lineRule="auto"/>
        <w:ind w:left="1440"/>
        <w:jc w:val="both"/>
        <w:rPr>
          <w:rFonts w:ascii="Times New Roman" w:hAnsi="Times New Roman"/>
          <w:sz w:val="23"/>
          <w:szCs w:val="23"/>
        </w:rPr>
      </w:pPr>
      <w:r w:rsidRPr="00627459">
        <w:rPr>
          <w:rFonts w:ascii="Times New Roman" w:hAnsi="Times New Roman"/>
          <w:b/>
          <w:sz w:val="23"/>
          <w:szCs w:val="23"/>
        </w:rPr>
        <w:t>PASTABA</w:t>
      </w:r>
      <w:r>
        <w:rPr>
          <w:rFonts w:ascii="Times New Roman" w:hAnsi="Times New Roman"/>
          <w:sz w:val="23"/>
          <w:szCs w:val="23"/>
        </w:rPr>
        <w:t xml:space="preserve"> Ilgalaikes konsultacijas teikia tie mokytojai, kuriems skirtos valandos gimnazijos nuožiūra.</w:t>
      </w:r>
    </w:p>
    <w:p w:rsidR="00150E8E" w:rsidRPr="00346600" w:rsidRDefault="00150E8E" w:rsidP="00990C14">
      <w:pPr>
        <w:pStyle w:val="Sraopastraipa"/>
        <w:spacing w:line="240" w:lineRule="auto"/>
        <w:ind w:left="1440"/>
        <w:jc w:val="both"/>
        <w:rPr>
          <w:rFonts w:ascii="Times New Roman" w:hAnsi="Times New Roman"/>
          <w:sz w:val="23"/>
          <w:szCs w:val="23"/>
        </w:rPr>
      </w:pPr>
    </w:p>
    <w:p w:rsidR="00960304" w:rsidRDefault="00960304" w:rsidP="00990C14">
      <w:pPr>
        <w:pStyle w:val="Sraopastraipa"/>
        <w:spacing w:line="240" w:lineRule="auto"/>
        <w:ind w:left="1440"/>
        <w:jc w:val="both"/>
        <w:rPr>
          <w:rFonts w:ascii="Times New Roman" w:hAnsi="Times New Roman"/>
          <w:sz w:val="23"/>
          <w:szCs w:val="23"/>
        </w:rPr>
      </w:pPr>
      <w:r w:rsidRPr="009807CB">
        <w:rPr>
          <w:rFonts w:ascii="Times New Roman" w:hAnsi="Times New Roman"/>
          <w:sz w:val="23"/>
          <w:szCs w:val="23"/>
        </w:rPr>
        <w:t>2.</w:t>
      </w:r>
      <w:r w:rsidRPr="009807CB">
        <w:rPr>
          <w:rFonts w:ascii="Times New Roman" w:hAnsi="Times New Roman"/>
          <w:b/>
          <w:sz w:val="23"/>
          <w:szCs w:val="23"/>
        </w:rPr>
        <w:t>Trumpalaikės</w:t>
      </w:r>
      <w:r w:rsidRPr="00346600">
        <w:rPr>
          <w:rFonts w:ascii="Times New Roman" w:hAnsi="Times New Roman"/>
          <w:sz w:val="23"/>
          <w:szCs w:val="23"/>
        </w:rPr>
        <w:t xml:space="preserve"> 1-2 sav. trukmės konsultacijos, mokiniams gavusiems </w:t>
      </w:r>
      <w:r>
        <w:rPr>
          <w:rFonts w:ascii="Times New Roman" w:hAnsi="Times New Roman"/>
          <w:sz w:val="23"/>
          <w:szCs w:val="23"/>
        </w:rPr>
        <w:t>*</w:t>
      </w:r>
      <w:r w:rsidRPr="00346600">
        <w:rPr>
          <w:rFonts w:ascii="Times New Roman" w:hAnsi="Times New Roman"/>
          <w:sz w:val="23"/>
          <w:szCs w:val="23"/>
        </w:rPr>
        <w:t>kontrolinio   darbo neigiamą įvertinimą.</w:t>
      </w:r>
    </w:p>
    <w:p w:rsidR="00960304" w:rsidRDefault="00960304" w:rsidP="00990C14">
      <w:pPr>
        <w:pStyle w:val="Sraopastraipa"/>
        <w:spacing w:line="240" w:lineRule="auto"/>
        <w:ind w:left="1440"/>
        <w:jc w:val="both"/>
        <w:rPr>
          <w:rFonts w:ascii="Times New Roman" w:hAnsi="Times New Roman"/>
          <w:sz w:val="23"/>
          <w:szCs w:val="23"/>
        </w:rPr>
      </w:pPr>
    </w:p>
    <w:p w:rsidR="005F7BC3" w:rsidRDefault="00960304" w:rsidP="00990C14">
      <w:pPr>
        <w:pStyle w:val="Sraopastraipa"/>
        <w:spacing w:line="240" w:lineRule="auto"/>
        <w:ind w:left="1440"/>
        <w:jc w:val="both"/>
        <w:rPr>
          <w:rFonts w:ascii="Times New Roman" w:hAnsi="Times New Roman"/>
          <w:sz w:val="23"/>
          <w:szCs w:val="23"/>
        </w:rPr>
      </w:pPr>
      <w:r>
        <w:rPr>
          <w:rFonts w:ascii="Times New Roman" w:hAnsi="Times New Roman"/>
          <w:sz w:val="23"/>
          <w:szCs w:val="23"/>
        </w:rPr>
        <w:t xml:space="preserve">*Jei mokinys gavo </w:t>
      </w:r>
      <w:r w:rsidRPr="00346600">
        <w:rPr>
          <w:rFonts w:ascii="Times New Roman" w:hAnsi="Times New Roman"/>
          <w:sz w:val="23"/>
          <w:szCs w:val="23"/>
        </w:rPr>
        <w:t>kontroli</w:t>
      </w:r>
      <w:r>
        <w:rPr>
          <w:rFonts w:ascii="Times New Roman" w:hAnsi="Times New Roman"/>
          <w:sz w:val="23"/>
          <w:szCs w:val="23"/>
        </w:rPr>
        <w:t xml:space="preserve">nio   darbo neigiamą įvertinimą, </w:t>
      </w:r>
      <w:r w:rsidR="00627459" w:rsidRPr="00627459">
        <w:rPr>
          <w:rFonts w:ascii="Times New Roman" w:hAnsi="Times New Roman"/>
          <w:b/>
          <w:sz w:val="23"/>
          <w:szCs w:val="23"/>
        </w:rPr>
        <w:t>dalyko mokytojas</w:t>
      </w:r>
      <w:r w:rsidR="00627459" w:rsidRPr="00627459">
        <w:rPr>
          <w:rFonts w:ascii="Times New Roman" w:hAnsi="Times New Roman"/>
          <w:sz w:val="23"/>
          <w:szCs w:val="23"/>
        </w:rPr>
        <w:t xml:space="preserve"> </w:t>
      </w:r>
      <w:r w:rsidRPr="00627459">
        <w:rPr>
          <w:rFonts w:ascii="Times New Roman" w:hAnsi="Times New Roman"/>
          <w:sz w:val="23"/>
          <w:szCs w:val="23"/>
        </w:rPr>
        <w:t xml:space="preserve">informuoja tėvus apie teikiamas trumpalaikes konsultacijas. </w:t>
      </w:r>
      <w:r>
        <w:rPr>
          <w:rFonts w:ascii="Times New Roman" w:hAnsi="Times New Roman"/>
          <w:sz w:val="23"/>
          <w:szCs w:val="23"/>
        </w:rPr>
        <w:t>Dalyko mokytojas, parašęs neigiamą įvertinimą, suderina laiką ir individualiai arba grupėmis konsultuoja mokinį(</w:t>
      </w:r>
      <w:proofErr w:type="spellStart"/>
      <w:r>
        <w:rPr>
          <w:rFonts w:ascii="Times New Roman" w:hAnsi="Times New Roman"/>
          <w:sz w:val="23"/>
          <w:szCs w:val="23"/>
        </w:rPr>
        <w:t>ius</w:t>
      </w:r>
      <w:proofErr w:type="spellEnd"/>
      <w:r>
        <w:rPr>
          <w:rFonts w:ascii="Times New Roman" w:hAnsi="Times New Roman"/>
          <w:sz w:val="23"/>
          <w:szCs w:val="23"/>
        </w:rPr>
        <w:t xml:space="preserve">). Mėnesio pabaigoje pav. </w:t>
      </w:r>
      <w:proofErr w:type="spellStart"/>
      <w:r>
        <w:rPr>
          <w:rFonts w:ascii="Times New Roman" w:hAnsi="Times New Roman"/>
          <w:sz w:val="23"/>
          <w:szCs w:val="23"/>
        </w:rPr>
        <w:t>R.Stuokienei</w:t>
      </w:r>
      <w:proofErr w:type="spellEnd"/>
      <w:r>
        <w:rPr>
          <w:rFonts w:ascii="Times New Roman" w:hAnsi="Times New Roman"/>
          <w:sz w:val="23"/>
          <w:szCs w:val="23"/>
        </w:rPr>
        <w:t xml:space="preserve"> klasių auklėtojai pateikia statistines suvestines apie neigiamus įvertinimus (žr. priedą).</w:t>
      </w:r>
    </w:p>
    <w:p w:rsidR="00150E8E" w:rsidRDefault="00627459" w:rsidP="00990C14">
      <w:pPr>
        <w:pStyle w:val="Sraopastraipa"/>
        <w:spacing w:line="240" w:lineRule="auto"/>
        <w:ind w:left="1440"/>
        <w:jc w:val="both"/>
        <w:rPr>
          <w:rFonts w:ascii="Times New Roman" w:hAnsi="Times New Roman"/>
          <w:sz w:val="23"/>
          <w:szCs w:val="23"/>
        </w:rPr>
      </w:pPr>
      <w:r w:rsidRPr="00627459">
        <w:rPr>
          <w:rFonts w:ascii="Times New Roman" w:hAnsi="Times New Roman"/>
          <w:b/>
          <w:sz w:val="23"/>
          <w:szCs w:val="23"/>
        </w:rPr>
        <w:t>PASTABA</w:t>
      </w:r>
      <w:r>
        <w:rPr>
          <w:rFonts w:ascii="Times New Roman" w:hAnsi="Times New Roman"/>
          <w:sz w:val="23"/>
          <w:szCs w:val="23"/>
        </w:rPr>
        <w:t xml:space="preserve"> Trumpalaikės konsultacijos žymimos </w:t>
      </w:r>
      <w:proofErr w:type="spellStart"/>
      <w:r>
        <w:rPr>
          <w:rFonts w:ascii="Times New Roman" w:hAnsi="Times New Roman"/>
          <w:sz w:val="23"/>
          <w:szCs w:val="23"/>
        </w:rPr>
        <w:t>e.dienyne</w:t>
      </w:r>
      <w:proofErr w:type="spellEnd"/>
      <w:r>
        <w:rPr>
          <w:rFonts w:ascii="Times New Roman" w:hAnsi="Times New Roman"/>
          <w:sz w:val="23"/>
          <w:szCs w:val="23"/>
        </w:rPr>
        <w:t xml:space="preserve"> skiltyje „Kita veikla“.</w:t>
      </w:r>
    </w:p>
    <w:p w:rsidR="00627459" w:rsidRPr="00270F2D" w:rsidRDefault="00270F2D" w:rsidP="00E335FE">
      <w:pPr>
        <w:ind w:left="720"/>
        <w:jc w:val="both"/>
        <w:rPr>
          <w:sz w:val="23"/>
          <w:szCs w:val="23"/>
        </w:rPr>
      </w:pPr>
      <w:r>
        <w:rPr>
          <w:sz w:val="23"/>
          <w:szCs w:val="23"/>
        </w:rPr>
        <w:t>26.2. J</w:t>
      </w:r>
      <w:r w:rsidR="00E335FE">
        <w:rPr>
          <w:sz w:val="23"/>
          <w:szCs w:val="23"/>
        </w:rPr>
        <w:t xml:space="preserve">ei </w:t>
      </w:r>
      <w:r w:rsidR="00E335FE" w:rsidRPr="00E335FE">
        <w:rPr>
          <w:b/>
          <w:sz w:val="23"/>
          <w:szCs w:val="23"/>
        </w:rPr>
        <w:t>III-IV</w:t>
      </w:r>
      <w:r w:rsidRPr="00E335FE">
        <w:rPr>
          <w:b/>
          <w:sz w:val="23"/>
          <w:szCs w:val="23"/>
        </w:rPr>
        <w:t xml:space="preserve">(11-12) gimnazijos klasių </w:t>
      </w:r>
      <w:r>
        <w:rPr>
          <w:sz w:val="23"/>
          <w:szCs w:val="23"/>
        </w:rPr>
        <w:t>mokinių įvertinimai žemesni kaip šeši balai ir jie nori rinktis išplėstinį kursą, jiems teikiamos konsultacijos</w:t>
      </w:r>
      <w:r w:rsidR="00E335FE">
        <w:rPr>
          <w:sz w:val="23"/>
          <w:szCs w:val="23"/>
        </w:rPr>
        <w:t xml:space="preserve"> mokymosi pasiekimams pagerinti.</w:t>
      </w:r>
    </w:p>
    <w:p w:rsidR="005F7BC3" w:rsidRPr="00346600" w:rsidRDefault="005F7BC3" w:rsidP="00990C14">
      <w:pPr>
        <w:pStyle w:val="Sraopastraipa"/>
        <w:spacing w:line="240" w:lineRule="auto"/>
        <w:jc w:val="both"/>
        <w:rPr>
          <w:rFonts w:ascii="Times New Roman" w:hAnsi="Times New Roman"/>
          <w:color w:val="FF0000"/>
          <w:sz w:val="23"/>
          <w:szCs w:val="23"/>
        </w:rPr>
      </w:pPr>
      <w:r w:rsidRPr="00346600">
        <w:rPr>
          <w:rFonts w:ascii="Times New Roman" w:hAnsi="Times New Roman"/>
          <w:sz w:val="23"/>
          <w:szCs w:val="23"/>
        </w:rPr>
        <w:t>26.</w:t>
      </w:r>
      <w:r w:rsidR="00E335FE">
        <w:rPr>
          <w:rFonts w:ascii="Times New Roman" w:hAnsi="Times New Roman"/>
          <w:bCs/>
          <w:color w:val="000000"/>
          <w:sz w:val="23"/>
          <w:szCs w:val="23"/>
        </w:rPr>
        <w:t>3</w:t>
      </w:r>
      <w:r w:rsidRPr="00346600">
        <w:rPr>
          <w:rFonts w:ascii="Times New Roman" w:hAnsi="Times New Roman"/>
          <w:bCs/>
          <w:color w:val="000000"/>
          <w:sz w:val="23"/>
          <w:szCs w:val="23"/>
        </w:rPr>
        <w:t>.</w:t>
      </w:r>
      <w:r w:rsidRPr="00346600">
        <w:rPr>
          <w:rFonts w:ascii="Times New Roman" w:hAnsi="Times New Roman"/>
          <w:color w:val="000000"/>
          <w:sz w:val="23"/>
          <w:szCs w:val="23"/>
        </w:rPr>
        <w:t xml:space="preserve">  Mokinių tėvai </w:t>
      </w:r>
      <w:r w:rsidRPr="009807CB">
        <w:rPr>
          <w:rFonts w:ascii="Times New Roman" w:hAnsi="Times New Roman"/>
          <w:color w:val="000000"/>
          <w:sz w:val="23"/>
          <w:szCs w:val="23"/>
        </w:rPr>
        <w:t>kartą per mėnesį</w:t>
      </w:r>
      <w:r w:rsidRPr="00346600">
        <w:rPr>
          <w:rFonts w:ascii="Times New Roman" w:hAnsi="Times New Roman"/>
          <w:color w:val="000000"/>
          <w:sz w:val="23"/>
          <w:szCs w:val="23"/>
        </w:rPr>
        <w:t xml:space="preserve"> informuojami klasės auklėtojų apie vaikų daromą pažangą per elektroninį dienyną </w:t>
      </w:r>
      <w:r w:rsidRPr="009807CB">
        <w:rPr>
          <w:rFonts w:ascii="Times New Roman" w:hAnsi="Times New Roman"/>
          <w:color w:val="000000"/>
          <w:sz w:val="23"/>
          <w:szCs w:val="23"/>
        </w:rPr>
        <w:t>asmeniniu pranešimu</w:t>
      </w:r>
      <w:r w:rsidRPr="00346600">
        <w:rPr>
          <w:rFonts w:ascii="Times New Roman" w:hAnsi="Times New Roman"/>
          <w:color w:val="000000"/>
          <w:sz w:val="23"/>
          <w:szCs w:val="23"/>
        </w:rPr>
        <w:t>.</w:t>
      </w:r>
    </w:p>
    <w:p w:rsidR="005F7BC3" w:rsidRPr="00346600" w:rsidRDefault="00E335FE" w:rsidP="00990C14">
      <w:pPr>
        <w:pStyle w:val="Sraopastraipa"/>
        <w:spacing w:line="240" w:lineRule="auto"/>
        <w:jc w:val="both"/>
        <w:rPr>
          <w:rFonts w:ascii="Times New Roman" w:hAnsi="Times New Roman"/>
          <w:sz w:val="23"/>
          <w:szCs w:val="23"/>
        </w:rPr>
      </w:pPr>
      <w:r>
        <w:rPr>
          <w:rFonts w:ascii="Times New Roman" w:hAnsi="Times New Roman"/>
          <w:sz w:val="23"/>
          <w:szCs w:val="23"/>
        </w:rPr>
        <w:t>26.4</w:t>
      </w:r>
      <w:r w:rsidR="005F7BC3" w:rsidRPr="00346600">
        <w:rPr>
          <w:rFonts w:ascii="Times New Roman" w:hAnsi="Times New Roman"/>
          <w:sz w:val="23"/>
          <w:szCs w:val="23"/>
        </w:rPr>
        <w:t>. Moki</w:t>
      </w:r>
      <w:r w:rsidR="00E26422">
        <w:rPr>
          <w:rFonts w:ascii="Times New Roman" w:hAnsi="Times New Roman"/>
          <w:sz w:val="23"/>
          <w:szCs w:val="23"/>
        </w:rPr>
        <w:t>niui pusmečio pabaigoje iš</w:t>
      </w:r>
      <w:r w:rsidR="005F7BC3" w:rsidRPr="00346600">
        <w:rPr>
          <w:rFonts w:ascii="Times New Roman" w:hAnsi="Times New Roman"/>
          <w:sz w:val="23"/>
          <w:szCs w:val="23"/>
        </w:rPr>
        <w:t xml:space="preserve"> dalyko</w:t>
      </w:r>
      <w:r w:rsidR="00E26422">
        <w:rPr>
          <w:rFonts w:ascii="Times New Roman" w:hAnsi="Times New Roman"/>
          <w:sz w:val="23"/>
          <w:szCs w:val="23"/>
        </w:rPr>
        <w:t>(ų) gavus neigiamą(</w:t>
      </w:r>
      <w:proofErr w:type="spellStart"/>
      <w:r w:rsidR="00E26422">
        <w:rPr>
          <w:rFonts w:ascii="Times New Roman" w:hAnsi="Times New Roman"/>
          <w:sz w:val="23"/>
          <w:szCs w:val="23"/>
        </w:rPr>
        <w:t>us</w:t>
      </w:r>
      <w:proofErr w:type="spellEnd"/>
      <w:r w:rsidR="00E26422">
        <w:rPr>
          <w:rFonts w:ascii="Times New Roman" w:hAnsi="Times New Roman"/>
          <w:sz w:val="23"/>
          <w:szCs w:val="23"/>
        </w:rPr>
        <w:t>) įvertinimą (</w:t>
      </w:r>
      <w:proofErr w:type="spellStart"/>
      <w:r w:rsidR="00E26422">
        <w:rPr>
          <w:rFonts w:ascii="Times New Roman" w:hAnsi="Times New Roman"/>
          <w:sz w:val="23"/>
          <w:szCs w:val="23"/>
        </w:rPr>
        <w:t>us</w:t>
      </w:r>
      <w:proofErr w:type="spellEnd"/>
      <w:r w:rsidR="00E26422">
        <w:rPr>
          <w:rFonts w:ascii="Times New Roman" w:hAnsi="Times New Roman"/>
          <w:sz w:val="23"/>
          <w:szCs w:val="23"/>
        </w:rPr>
        <w:t>)</w:t>
      </w:r>
      <w:r w:rsidR="005F7BC3" w:rsidRPr="00346600">
        <w:rPr>
          <w:rFonts w:ascii="Times New Roman" w:hAnsi="Times New Roman"/>
          <w:sz w:val="23"/>
          <w:szCs w:val="23"/>
        </w:rPr>
        <w:t>, auklėtoja informuoja tėvus, surengia mokinio, jo tėvų, dalyko mokytojo susitikimą, kurio metu priimamas sprendimas dėl pagalbos mokiniui siekiant pažangumo.</w:t>
      </w:r>
    </w:p>
    <w:p w:rsidR="005F7BC3" w:rsidRPr="00346600" w:rsidRDefault="00E335FE" w:rsidP="00990C14">
      <w:pPr>
        <w:pStyle w:val="Sraopastraipa"/>
        <w:spacing w:line="240" w:lineRule="auto"/>
        <w:jc w:val="both"/>
        <w:rPr>
          <w:rFonts w:ascii="Times New Roman" w:hAnsi="Times New Roman"/>
          <w:sz w:val="23"/>
          <w:szCs w:val="23"/>
        </w:rPr>
      </w:pPr>
      <w:r>
        <w:rPr>
          <w:rFonts w:ascii="Times New Roman" w:hAnsi="Times New Roman"/>
          <w:sz w:val="23"/>
          <w:szCs w:val="23"/>
        </w:rPr>
        <w:t>26.5</w:t>
      </w:r>
      <w:r w:rsidR="005F7BC3" w:rsidRPr="00346600">
        <w:rPr>
          <w:rFonts w:ascii="Times New Roman" w:hAnsi="Times New Roman"/>
          <w:sz w:val="23"/>
          <w:szCs w:val="23"/>
        </w:rPr>
        <w:t xml:space="preserve">. </w:t>
      </w:r>
      <w:r w:rsidR="00E26422">
        <w:rPr>
          <w:rFonts w:ascii="Times New Roman" w:hAnsi="Times New Roman"/>
          <w:sz w:val="23"/>
          <w:szCs w:val="23"/>
        </w:rPr>
        <w:t>Jei mokinys ir toliau nedaro pažangos, klasės auklėtojas kreipiasi pagalbos į gimnazijos specialistus ( socialinį pedagogą ir psichologą</w:t>
      </w:r>
      <w:r w:rsidR="00E26422" w:rsidRPr="00346600">
        <w:rPr>
          <w:rFonts w:ascii="Times New Roman" w:hAnsi="Times New Roman"/>
          <w:sz w:val="23"/>
          <w:szCs w:val="23"/>
        </w:rPr>
        <w:t>)</w:t>
      </w:r>
      <w:r w:rsidR="00E26422">
        <w:rPr>
          <w:rFonts w:ascii="Times New Roman" w:hAnsi="Times New Roman"/>
          <w:sz w:val="23"/>
          <w:szCs w:val="23"/>
        </w:rPr>
        <w:t>.</w:t>
      </w:r>
    </w:p>
    <w:p w:rsidR="00E046E5" w:rsidRDefault="005F7BC3" w:rsidP="00990C14">
      <w:pPr>
        <w:pStyle w:val="Sraopastraipa"/>
        <w:spacing w:line="240" w:lineRule="auto"/>
        <w:jc w:val="both"/>
        <w:rPr>
          <w:rFonts w:ascii="Times New Roman" w:hAnsi="Times New Roman"/>
          <w:sz w:val="23"/>
          <w:szCs w:val="23"/>
        </w:rPr>
      </w:pPr>
      <w:r w:rsidRPr="00346600">
        <w:rPr>
          <w:rFonts w:ascii="Times New Roman" w:hAnsi="Times New Roman"/>
          <w:sz w:val="23"/>
          <w:szCs w:val="23"/>
        </w:rPr>
        <w:t>26</w:t>
      </w:r>
      <w:r w:rsidR="00E335FE">
        <w:rPr>
          <w:rFonts w:ascii="Times New Roman" w:hAnsi="Times New Roman"/>
          <w:sz w:val="23"/>
          <w:szCs w:val="23"/>
        </w:rPr>
        <w:t>.6</w:t>
      </w:r>
      <w:r w:rsidRPr="00346600">
        <w:rPr>
          <w:rFonts w:ascii="Times New Roman" w:hAnsi="Times New Roman"/>
          <w:sz w:val="23"/>
          <w:szCs w:val="23"/>
        </w:rPr>
        <w:t>.</w:t>
      </w:r>
      <w:r w:rsidR="000E0221">
        <w:rPr>
          <w:rFonts w:ascii="Times New Roman" w:hAnsi="Times New Roman"/>
          <w:sz w:val="23"/>
          <w:szCs w:val="23"/>
        </w:rPr>
        <w:t xml:space="preserve"> Situacijai nepagerėjus, klasės auklėtojas </w:t>
      </w:r>
      <w:r w:rsidR="00963CB1">
        <w:rPr>
          <w:rFonts w:ascii="Times New Roman" w:hAnsi="Times New Roman"/>
          <w:sz w:val="23"/>
          <w:szCs w:val="23"/>
        </w:rPr>
        <w:t xml:space="preserve">siunčia </w:t>
      </w:r>
      <w:r w:rsidR="000E0221">
        <w:rPr>
          <w:rFonts w:ascii="Times New Roman" w:hAnsi="Times New Roman"/>
          <w:sz w:val="23"/>
          <w:szCs w:val="23"/>
        </w:rPr>
        <w:t>moksleivį ir jo tėvus</w:t>
      </w:r>
      <w:r w:rsidR="00960304">
        <w:rPr>
          <w:rFonts w:ascii="Times New Roman" w:hAnsi="Times New Roman"/>
          <w:sz w:val="23"/>
          <w:szCs w:val="23"/>
        </w:rPr>
        <w:t xml:space="preserve"> </w:t>
      </w:r>
      <w:r w:rsidR="000E0221">
        <w:rPr>
          <w:rFonts w:ascii="Times New Roman" w:hAnsi="Times New Roman"/>
          <w:sz w:val="23"/>
          <w:szCs w:val="23"/>
        </w:rPr>
        <w:t>(globėjus) į vaiko gerovės komisijos posėdį.</w:t>
      </w:r>
    </w:p>
    <w:p w:rsidR="00E046E5" w:rsidRPr="00E046E5" w:rsidRDefault="00E335FE" w:rsidP="00990C14">
      <w:pPr>
        <w:pStyle w:val="Sraopastraipa"/>
        <w:spacing w:line="240" w:lineRule="auto"/>
        <w:jc w:val="both"/>
        <w:rPr>
          <w:rFonts w:ascii="Times New Roman" w:hAnsi="Times New Roman"/>
          <w:sz w:val="23"/>
          <w:szCs w:val="23"/>
        </w:rPr>
      </w:pPr>
      <w:r>
        <w:rPr>
          <w:rFonts w:ascii="Times New Roman" w:hAnsi="Times New Roman"/>
          <w:sz w:val="23"/>
          <w:szCs w:val="23"/>
        </w:rPr>
        <w:t>26.7</w:t>
      </w:r>
      <w:r w:rsidR="00E046E5" w:rsidRPr="00E046E5">
        <w:rPr>
          <w:rFonts w:ascii="Times New Roman" w:hAnsi="Times New Roman"/>
          <w:sz w:val="23"/>
          <w:szCs w:val="23"/>
        </w:rPr>
        <w:t>.</w:t>
      </w:r>
      <w:r w:rsidR="00990C14">
        <w:rPr>
          <w:rFonts w:ascii="Times New Roman" w:hAnsi="Times New Roman"/>
          <w:sz w:val="23"/>
          <w:szCs w:val="23"/>
        </w:rPr>
        <w:t xml:space="preserve"> </w:t>
      </w:r>
      <w:r w:rsidR="00E046E5" w:rsidRPr="00E046E5">
        <w:rPr>
          <w:rFonts w:ascii="Times New Roman" w:hAnsi="Times New Roman"/>
          <w:sz w:val="23"/>
          <w:szCs w:val="23"/>
        </w:rPr>
        <w:t>Nepažangūs mokiniai, sulaukę 16 metų, gali būti šalinami iš mokyklos, atsižvelgus įmokinių gabumus ir tėvų (globėjų, rūpintojų) pritarimą.18 metų ir vyresni vidurinio ugdymo programos nepažangūs ir mokyklos nelankantys mokyklos mokiniai, direktoriaus įsakymu šalinami iš mokyklos.</w:t>
      </w:r>
    </w:p>
    <w:p w:rsidR="00150E8E" w:rsidRPr="0071715E" w:rsidRDefault="00150E8E" w:rsidP="0071715E">
      <w:pPr>
        <w:jc w:val="both"/>
        <w:rPr>
          <w:sz w:val="23"/>
          <w:szCs w:val="23"/>
        </w:rPr>
      </w:pPr>
    </w:p>
    <w:p w:rsidR="00990C14" w:rsidRDefault="00990C14" w:rsidP="00990C14">
      <w:pPr>
        <w:pStyle w:val="Sraopastraipa"/>
        <w:spacing w:line="240" w:lineRule="auto"/>
        <w:rPr>
          <w:rFonts w:ascii="Times New Roman" w:hAnsi="Times New Roman"/>
          <w:sz w:val="23"/>
          <w:szCs w:val="23"/>
        </w:rPr>
      </w:pPr>
    </w:p>
    <w:p w:rsidR="0071715E" w:rsidRDefault="0071715E" w:rsidP="00990C14">
      <w:pPr>
        <w:pStyle w:val="Sraopastraipa"/>
        <w:spacing w:line="240" w:lineRule="auto"/>
        <w:rPr>
          <w:rFonts w:ascii="Times New Roman" w:hAnsi="Times New Roman"/>
          <w:sz w:val="23"/>
          <w:szCs w:val="23"/>
        </w:rPr>
      </w:pPr>
    </w:p>
    <w:p w:rsidR="0071715E" w:rsidRPr="0071715E" w:rsidRDefault="0071715E" w:rsidP="0071715E">
      <w:pPr>
        <w:rPr>
          <w:sz w:val="23"/>
          <w:szCs w:val="23"/>
        </w:rPr>
      </w:pPr>
    </w:p>
    <w:p w:rsidR="0071715E" w:rsidRDefault="0071715E" w:rsidP="0071715E">
      <w:pPr>
        <w:pStyle w:val="Sraopastraipa"/>
        <w:spacing w:line="240" w:lineRule="auto"/>
        <w:jc w:val="right"/>
        <w:rPr>
          <w:rFonts w:ascii="Times New Roman" w:hAnsi="Times New Roman"/>
          <w:sz w:val="23"/>
          <w:szCs w:val="23"/>
        </w:rPr>
      </w:pPr>
    </w:p>
    <w:p w:rsidR="0071715E" w:rsidRDefault="0071715E" w:rsidP="0071715E">
      <w:pPr>
        <w:pStyle w:val="Sraopastraipa"/>
        <w:spacing w:line="240" w:lineRule="auto"/>
        <w:jc w:val="right"/>
        <w:rPr>
          <w:rFonts w:ascii="Times New Roman" w:hAnsi="Times New Roman"/>
          <w:sz w:val="23"/>
          <w:szCs w:val="23"/>
        </w:rPr>
      </w:pPr>
    </w:p>
    <w:p w:rsidR="005F7BC3" w:rsidRPr="0071715E" w:rsidRDefault="00990C14" w:rsidP="0071715E">
      <w:pPr>
        <w:pStyle w:val="Sraopastraipa"/>
        <w:spacing w:line="240" w:lineRule="auto"/>
        <w:jc w:val="right"/>
        <w:rPr>
          <w:rFonts w:ascii="Times New Roman" w:hAnsi="Times New Roman"/>
          <w:sz w:val="23"/>
          <w:szCs w:val="23"/>
        </w:rPr>
      </w:pPr>
      <w:r>
        <w:rPr>
          <w:rFonts w:ascii="Times New Roman" w:hAnsi="Times New Roman"/>
          <w:sz w:val="23"/>
          <w:szCs w:val="23"/>
        </w:rPr>
        <w:lastRenderedPageBreak/>
        <w:t>Priedas</w:t>
      </w:r>
    </w:p>
    <w:p w:rsidR="005F7BC3" w:rsidRDefault="005F7BC3" w:rsidP="005F7BC3">
      <w:pPr>
        <w:jc w:val="center"/>
      </w:pPr>
      <w:r>
        <w:t>NEIGIAMŲ ĮVERTINIMŲ SUVESTINĖ</w:t>
      </w:r>
    </w:p>
    <w:p w:rsidR="0071715E" w:rsidRDefault="005F7BC3" w:rsidP="0071715E">
      <w:pPr>
        <w:jc w:val="center"/>
      </w:pPr>
      <w:r>
        <w:t>(Rugsėjis)</w:t>
      </w:r>
    </w:p>
    <w:tbl>
      <w:tblPr>
        <w:tblStyle w:val="Lentelstinklelis"/>
        <w:tblW w:w="15701" w:type="dxa"/>
        <w:tblLayout w:type="fixed"/>
        <w:tblLook w:val="04A0" w:firstRow="1" w:lastRow="0" w:firstColumn="1" w:lastColumn="0" w:noHBand="0" w:noVBand="1"/>
      </w:tblPr>
      <w:tblGrid>
        <w:gridCol w:w="675"/>
        <w:gridCol w:w="709"/>
        <w:gridCol w:w="992"/>
        <w:gridCol w:w="992"/>
        <w:gridCol w:w="851"/>
        <w:gridCol w:w="992"/>
        <w:gridCol w:w="851"/>
        <w:gridCol w:w="850"/>
        <w:gridCol w:w="851"/>
        <w:gridCol w:w="992"/>
        <w:gridCol w:w="850"/>
        <w:gridCol w:w="851"/>
        <w:gridCol w:w="850"/>
        <w:gridCol w:w="851"/>
        <w:gridCol w:w="850"/>
        <w:gridCol w:w="851"/>
        <w:gridCol w:w="783"/>
        <w:gridCol w:w="1060"/>
      </w:tblGrid>
      <w:tr w:rsidR="004C2135" w:rsidTr="00F90152">
        <w:trPr>
          <w:cantSplit/>
          <w:trHeight w:val="1693"/>
        </w:trPr>
        <w:tc>
          <w:tcPr>
            <w:tcW w:w="675" w:type="dxa"/>
            <w:textDirection w:val="btLr"/>
          </w:tcPr>
          <w:p w:rsidR="004C2135" w:rsidRDefault="004C2135" w:rsidP="00B907ED">
            <w:pPr>
              <w:ind w:left="113" w:right="113"/>
              <w:jc w:val="center"/>
            </w:pPr>
            <w:r>
              <w:t>Klasė</w:t>
            </w:r>
          </w:p>
        </w:tc>
        <w:tc>
          <w:tcPr>
            <w:tcW w:w="709" w:type="dxa"/>
            <w:textDirection w:val="btLr"/>
          </w:tcPr>
          <w:p w:rsidR="004C2135" w:rsidRDefault="004C2135" w:rsidP="00B907ED">
            <w:pPr>
              <w:ind w:left="113" w:right="113"/>
              <w:jc w:val="center"/>
            </w:pPr>
            <w:r>
              <w:t>Mokinių skaičius</w:t>
            </w:r>
          </w:p>
        </w:tc>
        <w:tc>
          <w:tcPr>
            <w:tcW w:w="992" w:type="dxa"/>
            <w:textDirection w:val="btLr"/>
          </w:tcPr>
          <w:p w:rsidR="004C2135" w:rsidRDefault="004C2135" w:rsidP="00B907ED">
            <w:pPr>
              <w:ind w:left="113" w:right="113"/>
              <w:jc w:val="center"/>
            </w:pPr>
            <w:r>
              <w:t>Vardas, pavardė</w:t>
            </w:r>
          </w:p>
        </w:tc>
        <w:tc>
          <w:tcPr>
            <w:tcW w:w="992" w:type="dxa"/>
            <w:textDirection w:val="btLr"/>
          </w:tcPr>
          <w:p w:rsidR="004C2135" w:rsidRDefault="004C2135" w:rsidP="00B907ED">
            <w:pPr>
              <w:ind w:left="113" w:right="113"/>
              <w:jc w:val="center"/>
            </w:pPr>
            <w:r>
              <w:t>Lietuvių kalba</w:t>
            </w:r>
          </w:p>
        </w:tc>
        <w:tc>
          <w:tcPr>
            <w:tcW w:w="851" w:type="dxa"/>
            <w:textDirection w:val="btLr"/>
          </w:tcPr>
          <w:p w:rsidR="004C2135" w:rsidRDefault="004C2135" w:rsidP="00B907ED">
            <w:pPr>
              <w:ind w:left="113" w:right="113"/>
              <w:jc w:val="center"/>
            </w:pPr>
            <w:r>
              <w:t>Užsienio kalba</w:t>
            </w:r>
          </w:p>
          <w:p w:rsidR="004C2135" w:rsidRDefault="004C2135" w:rsidP="00B907ED">
            <w:pPr>
              <w:ind w:left="113" w:right="113"/>
              <w:jc w:val="center"/>
            </w:pPr>
            <w:r>
              <w:t xml:space="preserve"> (1-oji)</w:t>
            </w:r>
          </w:p>
        </w:tc>
        <w:tc>
          <w:tcPr>
            <w:tcW w:w="992" w:type="dxa"/>
            <w:textDirection w:val="btLr"/>
          </w:tcPr>
          <w:p w:rsidR="004C2135" w:rsidRDefault="004C2135" w:rsidP="00B907ED">
            <w:pPr>
              <w:ind w:left="113" w:right="113"/>
              <w:jc w:val="center"/>
            </w:pPr>
            <w:r>
              <w:t xml:space="preserve">Užsienio kalba </w:t>
            </w:r>
          </w:p>
          <w:p w:rsidR="004C2135" w:rsidRDefault="004C2135" w:rsidP="00B907ED">
            <w:pPr>
              <w:ind w:left="113" w:right="113"/>
              <w:jc w:val="center"/>
            </w:pPr>
            <w:r>
              <w:t>(2-oji)</w:t>
            </w:r>
          </w:p>
        </w:tc>
        <w:tc>
          <w:tcPr>
            <w:tcW w:w="851" w:type="dxa"/>
            <w:textDirection w:val="btLr"/>
          </w:tcPr>
          <w:p w:rsidR="004C2135" w:rsidRDefault="004C2135" w:rsidP="00B907ED">
            <w:pPr>
              <w:ind w:left="113" w:right="113"/>
              <w:jc w:val="center"/>
            </w:pPr>
            <w:r>
              <w:t>Matematika</w:t>
            </w:r>
          </w:p>
        </w:tc>
        <w:tc>
          <w:tcPr>
            <w:tcW w:w="850" w:type="dxa"/>
            <w:textDirection w:val="btLr"/>
          </w:tcPr>
          <w:p w:rsidR="004C2135" w:rsidRDefault="004C2135" w:rsidP="00B907ED">
            <w:pPr>
              <w:ind w:left="113" w:right="113"/>
              <w:jc w:val="center"/>
            </w:pPr>
            <w:r>
              <w:t>Informacinės technologijos</w:t>
            </w:r>
          </w:p>
        </w:tc>
        <w:tc>
          <w:tcPr>
            <w:tcW w:w="851" w:type="dxa"/>
            <w:textDirection w:val="btLr"/>
          </w:tcPr>
          <w:p w:rsidR="004C2135" w:rsidRDefault="004C2135" w:rsidP="00B907ED">
            <w:pPr>
              <w:ind w:left="113" w:right="113"/>
              <w:jc w:val="center"/>
            </w:pPr>
            <w:r>
              <w:t>Biologija</w:t>
            </w:r>
          </w:p>
        </w:tc>
        <w:tc>
          <w:tcPr>
            <w:tcW w:w="992" w:type="dxa"/>
            <w:textDirection w:val="btLr"/>
          </w:tcPr>
          <w:p w:rsidR="004C2135" w:rsidRDefault="004C2135" w:rsidP="00B907ED">
            <w:pPr>
              <w:ind w:left="113" w:right="113"/>
              <w:jc w:val="center"/>
            </w:pPr>
            <w:r>
              <w:t>Chemija</w:t>
            </w:r>
          </w:p>
        </w:tc>
        <w:tc>
          <w:tcPr>
            <w:tcW w:w="850" w:type="dxa"/>
            <w:textDirection w:val="btLr"/>
          </w:tcPr>
          <w:p w:rsidR="004C2135" w:rsidRDefault="004C2135" w:rsidP="00B907ED">
            <w:pPr>
              <w:ind w:left="113" w:right="113"/>
              <w:jc w:val="center"/>
            </w:pPr>
            <w:r>
              <w:t>Fizika</w:t>
            </w:r>
          </w:p>
        </w:tc>
        <w:tc>
          <w:tcPr>
            <w:tcW w:w="851" w:type="dxa"/>
            <w:textDirection w:val="btLr"/>
          </w:tcPr>
          <w:p w:rsidR="004C2135" w:rsidRDefault="004C2135" w:rsidP="00B907ED">
            <w:pPr>
              <w:ind w:left="113" w:right="113"/>
              <w:jc w:val="center"/>
            </w:pPr>
            <w:r>
              <w:t>Istorija</w:t>
            </w:r>
          </w:p>
        </w:tc>
        <w:tc>
          <w:tcPr>
            <w:tcW w:w="850" w:type="dxa"/>
            <w:textDirection w:val="btLr"/>
          </w:tcPr>
          <w:p w:rsidR="004C2135" w:rsidRDefault="004C2135" w:rsidP="00B907ED">
            <w:pPr>
              <w:ind w:left="113" w:right="113"/>
              <w:jc w:val="center"/>
            </w:pPr>
            <w:r>
              <w:t>Geografija</w:t>
            </w:r>
          </w:p>
        </w:tc>
        <w:tc>
          <w:tcPr>
            <w:tcW w:w="851" w:type="dxa"/>
            <w:textDirection w:val="btLr"/>
          </w:tcPr>
          <w:p w:rsidR="004C2135" w:rsidRDefault="004C2135" w:rsidP="00B907ED">
            <w:pPr>
              <w:ind w:left="113" w:right="113"/>
              <w:jc w:val="center"/>
            </w:pPr>
            <w:r>
              <w:t>Dailė</w:t>
            </w:r>
          </w:p>
        </w:tc>
        <w:tc>
          <w:tcPr>
            <w:tcW w:w="850" w:type="dxa"/>
            <w:textDirection w:val="btLr"/>
          </w:tcPr>
          <w:p w:rsidR="004C2135" w:rsidRDefault="004C2135" w:rsidP="00B907ED">
            <w:pPr>
              <w:ind w:left="113" w:right="113"/>
              <w:jc w:val="center"/>
            </w:pPr>
            <w:r>
              <w:t>Muzika</w:t>
            </w:r>
          </w:p>
        </w:tc>
        <w:tc>
          <w:tcPr>
            <w:tcW w:w="851" w:type="dxa"/>
            <w:textDirection w:val="btLr"/>
          </w:tcPr>
          <w:p w:rsidR="004C2135" w:rsidRDefault="004C2135" w:rsidP="00B907ED">
            <w:pPr>
              <w:ind w:left="113" w:right="113"/>
              <w:jc w:val="center"/>
            </w:pPr>
            <w:r>
              <w:t>Technologijos</w:t>
            </w:r>
          </w:p>
        </w:tc>
        <w:tc>
          <w:tcPr>
            <w:tcW w:w="783" w:type="dxa"/>
            <w:textDirection w:val="btLr"/>
          </w:tcPr>
          <w:p w:rsidR="004C2135" w:rsidRDefault="004C2135" w:rsidP="00B907ED">
            <w:pPr>
              <w:ind w:left="113" w:right="113"/>
              <w:jc w:val="center"/>
            </w:pPr>
            <w:r>
              <w:t>Kūno kultūra</w:t>
            </w:r>
          </w:p>
        </w:tc>
        <w:tc>
          <w:tcPr>
            <w:tcW w:w="1060" w:type="dxa"/>
            <w:textDirection w:val="btLr"/>
          </w:tcPr>
          <w:p w:rsidR="004C2135" w:rsidRDefault="004C2135" w:rsidP="00B907ED">
            <w:pPr>
              <w:ind w:left="113" w:right="113"/>
              <w:jc w:val="center"/>
            </w:pPr>
            <w:r>
              <w:t>Viso neigiamų įvertinimų</w:t>
            </w:r>
          </w:p>
        </w:tc>
      </w:tr>
      <w:tr w:rsidR="004C2135" w:rsidTr="00F90152">
        <w:tc>
          <w:tcPr>
            <w:tcW w:w="675" w:type="dxa"/>
          </w:tcPr>
          <w:p w:rsidR="004C2135" w:rsidRDefault="004C2135" w:rsidP="005F7BC3">
            <w:pPr>
              <w:jc w:val="center"/>
            </w:pPr>
            <w:r>
              <w:t>1A</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1B</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1C</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1D</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1E</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2A</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2B</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2C</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2D</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2E</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2F</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3A</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3B</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3C</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3D</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3E</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3F</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3G</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3H</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4A</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4B</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4C</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4D</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4E</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4F</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r w:rsidR="004C2135" w:rsidTr="00F90152">
        <w:tc>
          <w:tcPr>
            <w:tcW w:w="675" w:type="dxa"/>
          </w:tcPr>
          <w:p w:rsidR="004C2135" w:rsidRDefault="004C2135" w:rsidP="005F7BC3">
            <w:pPr>
              <w:jc w:val="center"/>
            </w:pPr>
            <w:r>
              <w:t>4G</w:t>
            </w:r>
          </w:p>
        </w:tc>
        <w:tc>
          <w:tcPr>
            <w:tcW w:w="709" w:type="dxa"/>
          </w:tcPr>
          <w:p w:rsidR="004C2135" w:rsidRDefault="004C2135" w:rsidP="005F7BC3">
            <w:pPr>
              <w:jc w:val="center"/>
            </w:pPr>
          </w:p>
        </w:tc>
        <w:tc>
          <w:tcPr>
            <w:tcW w:w="992"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992"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850" w:type="dxa"/>
          </w:tcPr>
          <w:p w:rsidR="004C2135" w:rsidRDefault="004C2135" w:rsidP="005F7BC3">
            <w:pPr>
              <w:jc w:val="center"/>
            </w:pPr>
          </w:p>
        </w:tc>
        <w:tc>
          <w:tcPr>
            <w:tcW w:w="851" w:type="dxa"/>
          </w:tcPr>
          <w:p w:rsidR="004C2135" w:rsidRDefault="004C2135" w:rsidP="005F7BC3">
            <w:pPr>
              <w:jc w:val="center"/>
            </w:pPr>
          </w:p>
        </w:tc>
        <w:tc>
          <w:tcPr>
            <w:tcW w:w="783" w:type="dxa"/>
          </w:tcPr>
          <w:p w:rsidR="004C2135" w:rsidRDefault="004C2135" w:rsidP="005F7BC3">
            <w:pPr>
              <w:jc w:val="center"/>
            </w:pPr>
          </w:p>
        </w:tc>
        <w:tc>
          <w:tcPr>
            <w:tcW w:w="1060" w:type="dxa"/>
          </w:tcPr>
          <w:p w:rsidR="004C2135" w:rsidRDefault="004C2135" w:rsidP="005F7BC3">
            <w:pPr>
              <w:jc w:val="center"/>
            </w:pPr>
          </w:p>
        </w:tc>
      </w:tr>
    </w:tbl>
    <w:p w:rsidR="0071715E" w:rsidRDefault="0071715E" w:rsidP="0071715E">
      <w:pPr>
        <w:spacing w:after="200" w:line="276" w:lineRule="auto"/>
      </w:pPr>
      <w:bookmarkStart w:id="0" w:name="_GoBack"/>
      <w:bookmarkEnd w:id="0"/>
    </w:p>
    <w:sectPr w:rsidR="0071715E" w:rsidSect="0071715E">
      <w:pgSz w:w="16838" w:h="11906" w:orient="landscape" w:code="9"/>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C3"/>
    <w:rsid w:val="000E0221"/>
    <w:rsid w:val="00150E8E"/>
    <w:rsid w:val="001E2D74"/>
    <w:rsid w:val="00270F2D"/>
    <w:rsid w:val="00392BB9"/>
    <w:rsid w:val="003E4D5D"/>
    <w:rsid w:val="004C2135"/>
    <w:rsid w:val="005742F1"/>
    <w:rsid w:val="005F7BC3"/>
    <w:rsid w:val="00627459"/>
    <w:rsid w:val="0071715E"/>
    <w:rsid w:val="00960304"/>
    <w:rsid w:val="00963CB1"/>
    <w:rsid w:val="009807CB"/>
    <w:rsid w:val="00990C14"/>
    <w:rsid w:val="00AC2A37"/>
    <w:rsid w:val="00B907ED"/>
    <w:rsid w:val="00D95F19"/>
    <w:rsid w:val="00E046E5"/>
    <w:rsid w:val="00E26422"/>
    <w:rsid w:val="00E335FE"/>
    <w:rsid w:val="00EB6EEC"/>
    <w:rsid w:val="00F90152"/>
    <w:rsid w:val="00FE7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E284C-5801-4843-97E0-A40A201E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7B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F7BC3"/>
    <w:pPr>
      <w:spacing w:after="200" w:line="276" w:lineRule="auto"/>
      <w:ind w:left="720"/>
      <w:contextualSpacing/>
    </w:pPr>
    <w:rPr>
      <w:rFonts w:ascii="Calibri" w:eastAsia="Calibri" w:hAnsi="Calibri"/>
      <w:sz w:val="22"/>
      <w:szCs w:val="22"/>
      <w:lang w:eastAsia="en-US"/>
    </w:rPr>
  </w:style>
  <w:style w:type="table" w:styleId="Lentelstinklelis">
    <w:name w:val="Table Grid"/>
    <w:basedOn w:val="prastojilentel"/>
    <w:uiPriority w:val="59"/>
    <w:rsid w:val="005F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6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3B4F-C48D-44F3-86DD-EFE834EE2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2092</Words>
  <Characters>1193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dc:creator>
  <cp:lastModifiedBy>Vytautas Domarkas</cp:lastModifiedBy>
  <cp:revision>8</cp:revision>
  <cp:lastPrinted>2015-09-09T08:15:00Z</cp:lastPrinted>
  <dcterms:created xsi:type="dcterms:W3CDTF">2015-09-09T10:37:00Z</dcterms:created>
  <dcterms:modified xsi:type="dcterms:W3CDTF">2015-09-30T12:56:00Z</dcterms:modified>
</cp:coreProperties>
</file>